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spacing w:before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 you like to wear jewelry?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Gian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Brazil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wearing jewelry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 everyone. My name is Gian, and I'm from Brazil. My question right now is, if I like to wear jewelry. 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Well, probably not.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do wear my wedding ring.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That is very special to me.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wedding ring, it was actually given from my grandparents to my parents, and now me and my wife, my wife and I, use them.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they are over 70 years old, seven-zero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So, it's a long time, and have their names here. That's probably my only jewelry that I use often.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I'm very mystical and spiritual person. So,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so often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you see me wear a crystal, or a bracelet with different stones, but yeah, not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wearing anything. I'm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about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being comfortable. This is my workspace,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so I'm always wearing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comfy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clothes.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older I get, I'm less and less worried about how do I look to people. So, I'm always using sweatpants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of that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So, I think I would say probably, no, I do not like to wear jewelry.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All right, guys. I hope to see you next time. Bye-bye.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very interested in | 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so on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occasionally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comfortable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fan of | 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little brother is _________  video games.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go to live concerts _____________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love these shoes. They are so _________ 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just love motors, cars, and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 the environment nowadays.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rHeight w:val="4010.68359375" w:hRule="atLeast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Does he like to wear jewelry?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Yes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No 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Gian’s wedding ring is ________.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old 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new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He likes to wear ______ things/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nice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comfy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D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 Do you like wearing jewelry?</w:t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Do you have any bracelets?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Do you have a special piece of jewelry?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Do you prefer new or old jewelry?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ever buy jewelry as a gift?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Yes, but I never wear it.</w:t>
              <w:br w:type="textWrapping"/>
              <w:t xml:space="preserve">( _ ) The later.  like stuff with a bit of history.</w:t>
              <w:br w:type="textWrapping"/>
              <w:t xml:space="preserve">( _ ) Not really, but I wear a ring.</w:t>
              <w:br w:type="textWrapping"/>
              <w:t xml:space="preserve">( _ ) Yes, for birthday presents and such.</w:t>
              <w:br w:type="textWrapping"/>
              <w:t xml:space="preserve">( _ ) Yes, a watch my dad gave me.</w:t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42938" cy="642938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642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2">
      <w:pPr>
        <w:spacing w:before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 you like to wear jewelry?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Gian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Brazil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wearing jewelry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 everyone. My name is Gian, and I'm from Brazil. My question right now is, if I like to wear jewelry. 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Well, probably not.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I do wear my wedding ring.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That is very special to me.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My wedding ring, it was actually given from my grandparents to my parents, and now me and my wife, my wife and I, use them.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So,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they are over 70 years old, seven-zero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So, it's a long time, and have their names here. That's probably my only jewelry that I use often.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I'm very mystical and spiritual person. So,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so often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you see me wear a crystal, or a bracelet with different stones, but yeah, not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wearing anything. I'm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about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being comfortable. This is my workspace,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so I'm always wearing really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  <w:rtl w:val="0"/>
              </w:rPr>
              <w:t xml:space="preserve">comfy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clothes.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older I get, I'm less and less worried about how do I look to people. So, I'm always using sweatpants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of that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So, I think I would say probably, no, I do not like to wear jewelry. All right, guys. I hope to see you next time. Bye-bye.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very interested in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about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so on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 of that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occasionally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so often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comfortable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comfy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fan of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big into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little brother is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big into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video games.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go to live concerts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every now and then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love these shoes. They are so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comfy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just love motors, cars, and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all of that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all about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 environment nowadays.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Does he like to wear jewelry?</w:t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Yes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b) No (X)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Gian’s wedding ring is ________.</w:t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old (X)</w:t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new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He likes to wear ______ things/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nice</w:t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b) comfy (X)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 Do you like wearing jewelry?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Not really, but I wear a ring.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Do you have any bracelets?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Yes, but I never wear it.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Do you have a special piece of jewelry?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Yes, a watch my dad gave me.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Do you prefer new or old jewelry?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The later.  like stuff with a bit of history.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Do you ever buy jewelry as a gift?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Yes, for birthday presents and such.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( 2 ) Yes, but I never wear it.</w:t>
              <w:br w:type="textWrapping"/>
              <w:t xml:space="preserve">( 4 ) The later.  like stuff with a bit of history.</w:t>
              <w:br w:type="textWrapping"/>
              <w:t xml:space="preserve">( 1 ) Not really, but I wear a ring.</w:t>
              <w:br w:type="textWrapping"/>
              <w:t xml:space="preserve">( 5 ) Yes, for birthday presents and such.</w:t>
              <w:br w:type="textWrapping"/>
              <w:t xml:space="preserve">( 3 ) Yes, a watch my dad gave me.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42938" cy="642938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642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Style w:val="Heading4"/>
      <w:jc w:val="center"/>
      <w:rPr/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#694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4-Gian-Jewelry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4-Gian-Jewelry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4-Gian-Jewelry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